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17E15" w14:textId="77777777" w:rsidR="00932AF4" w:rsidRDefault="00932AF4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35765E2B" w14:textId="77777777" w:rsidR="00F73431" w:rsidRDefault="00F73431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2278CC8D" w14:textId="3E03DE5D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The Birrarung Council is seeking to stimulate discussion and understanding about the concept of net gain.</w:t>
      </w:r>
    </w:p>
    <w:p w14:paraId="209C2D0B" w14:textId="77777777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34C311C2" w14:textId="10850F26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Net gain is an approach that seeks to leave the environment in a measurably better state than it is currently.</w:t>
      </w:r>
      <w:r w:rsidR="00074909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</w:t>
      </w: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Although the term “net gain”</w:t>
      </w:r>
      <w:r w:rsidR="00B27363"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</w:t>
      </w: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is used in the Yarra River Protection (Wilip-gin Birrarung murron) Act 2017 (the Act), it is not defined and is not well understood.</w:t>
      </w:r>
    </w:p>
    <w:p w14:paraId="2763DA45" w14:textId="77777777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515352A2" w14:textId="0FB7D3A9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sz w:val="22"/>
          <w:szCs w:val="22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The Council believes the goals in the Act, and the </w:t>
      </w:r>
      <w:r w:rsidR="00B27363"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50-year</w:t>
      </w: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Community and Traditional Owner aspirations for the Birrarung, require a net gain model that is:</w:t>
      </w:r>
    </w:p>
    <w:p w14:paraId="3A1C9374" w14:textId="6F5AF4D3" w:rsidR="00587C02" w:rsidRPr="00B27363" w:rsidRDefault="00587C02" w:rsidP="00587C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future focused</w:t>
      </w:r>
    </w:p>
    <w:p w14:paraId="755190EB" w14:textId="3AF176E5" w:rsidR="00587C02" w:rsidRPr="00B27363" w:rsidRDefault="00587C02" w:rsidP="00587C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restorative</w:t>
      </w:r>
    </w:p>
    <w:p w14:paraId="55318806" w14:textId="0FB0FBD1" w:rsidR="00587C02" w:rsidRPr="00B27363" w:rsidRDefault="00587C02" w:rsidP="00587C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based on the whole interconnected ecological system</w:t>
      </w:r>
    </w:p>
    <w:p w14:paraId="6625E181" w14:textId="18C44E7D" w:rsidR="00587C02" w:rsidRPr="00F73431" w:rsidRDefault="00587C02" w:rsidP="00587C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based on a notion of landscape as being the cultural landscape for which First Peoples are custodians,</w:t>
      </w:r>
      <w:r w:rsid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</w:t>
      </w:r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as well as the ecological dimension</w:t>
      </w:r>
    </w:p>
    <w:p w14:paraId="56490494" w14:textId="5232579A" w:rsidR="00587C02" w:rsidRPr="00B27363" w:rsidRDefault="00587C02" w:rsidP="00587C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comprised of social and cultural as well as physical landscape goals.</w:t>
      </w:r>
    </w:p>
    <w:p w14:paraId="0AE42EFC" w14:textId="77777777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7A12796E" w14:textId="064F9B8A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The Council view is that notions of ‘net gain’ which merely provide some compensation (or off setting) for environmental harms fail to capture the real intent of a true net gain approach and its potential for achieving positive change.</w:t>
      </w:r>
    </w:p>
    <w:p w14:paraId="4C68C203" w14:textId="77777777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31C97729" w14:textId="370EC357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In developing a proposed model of net gain for the Birrarung, the Council has considered three main approaches:</w:t>
      </w:r>
    </w:p>
    <w:p w14:paraId="18ED1FA9" w14:textId="7DE7CE85" w:rsidR="00587C02" w:rsidRPr="00B27363" w:rsidRDefault="00587C02" w:rsidP="00587C0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scientific and technical methods, typically using quantitative measures of ‘gain’</w:t>
      </w:r>
    </w:p>
    <w:p w14:paraId="6342BB88" w14:textId="3F737AB8" w:rsidR="00587C02" w:rsidRPr="00F73431" w:rsidRDefault="00587C02" w:rsidP="00587C0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models of ecological restoration which seek recovery of ecological systems, and use qualitative as well</w:t>
      </w:r>
      <w:r w:rsid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</w:t>
      </w:r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as quantitative measures of gain</w:t>
      </w:r>
    </w:p>
    <w:p w14:paraId="1F1650C6" w14:textId="15D22B5B" w:rsidR="00587C02" w:rsidRPr="00B27363" w:rsidRDefault="00587C02" w:rsidP="00587C0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cultural understanding of gain, with measurable improvement in the healing and proper care of Country, under Traditional Owner auspices, as well as improved connection to Country.</w:t>
      </w:r>
    </w:p>
    <w:p w14:paraId="798D5C1C" w14:textId="77777777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0AE7DC97" w14:textId="0DB4712B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The Council strongly believes that what is required is a more developed approach to net gain, which draws on all three approaches but is built upon restorative ecology principles. It is envisaging a model which has the following important features:</w:t>
      </w:r>
    </w:p>
    <w:p w14:paraId="19853008" w14:textId="0444D1EF" w:rsidR="00587C02" w:rsidRPr="00F73431" w:rsidRDefault="00587C02" w:rsidP="00587C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it has a clear articulation of the future state sought, which sets out in detail the restored environment</w:t>
      </w:r>
      <w:r w:rsid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</w:t>
      </w:r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we aim for and includes ecological, </w:t>
      </w:r>
      <w:proofErr w:type="gramStart"/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social</w:t>
      </w:r>
      <w:proofErr w:type="gramEnd"/>
      <w:r w:rsidRPr="00F73431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and cultural dimensions</w:t>
      </w:r>
    </w:p>
    <w:p w14:paraId="30FD94DB" w14:textId="37520BCF" w:rsidR="00587C02" w:rsidRPr="00226314" w:rsidRDefault="00587C02" w:rsidP="00587C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226314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it requires a clear and detailed plan of how we get to our future state, complete with targets, </w:t>
      </w:r>
      <w:proofErr w:type="gramStart"/>
      <w:r w:rsidRPr="00226314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indicators</w:t>
      </w:r>
      <w:proofErr w:type="gramEnd"/>
      <w:r w:rsidR="00226314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</w:t>
      </w:r>
      <w:r w:rsidRPr="00226314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and measures across scientific, social and cultural domains</w:t>
      </w:r>
    </w:p>
    <w:p w14:paraId="0B4465F6" w14:textId="35FEB801" w:rsidR="00587C02" w:rsidRPr="00B27363" w:rsidRDefault="00587C02" w:rsidP="00587C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it will design a detailed program of works to drive us along the pathways of change</w:t>
      </w:r>
    </w:p>
    <w:p w14:paraId="094033BD" w14:textId="18256EBF" w:rsidR="00587C02" w:rsidRPr="00B27363" w:rsidRDefault="00587C02" w:rsidP="00587C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it will use physical and social sciences, and Indigenous culture and understanding, to help progress us to our goals.</w:t>
      </w:r>
    </w:p>
    <w:p w14:paraId="37739A67" w14:textId="77777777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</w:p>
    <w:p w14:paraId="73CF159D" w14:textId="24914383" w:rsidR="00587C02" w:rsidRPr="00B27363" w:rsidRDefault="00587C02" w:rsidP="00587C02">
      <w:pPr>
        <w:autoSpaceDE w:val="0"/>
        <w:autoSpaceDN w:val="0"/>
        <w:adjustRightInd w:val="0"/>
        <w:rPr>
          <w:rFonts w:ascii="Gill Sans Nova Light" w:hAnsi="Gill Sans Nova Light" w:cs="Gill Sans Light"/>
          <w:color w:val="000000"/>
          <w:sz w:val="22"/>
          <w:szCs w:val="22"/>
          <w:lang w:val="en-GB"/>
        </w:rPr>
      </w:pP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The Council believes the goals in the </w:t>
      </w:r>
      <w:r w:rsidR="0051338E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>Act</w:t>
      </w:r>
      <w:r w:rsidRPr="00B27363">
        <w:rPr>
          <w:rFonts w:ascii="Gill Sans Nova Light" w:hAnsi="Gill Sans Nova Light" w:cs="Gill Sans Light"/>
          <w:color w:val="000000"/>
          <w:sz w:val="22"/>
          <w:szCs w:val="22"/>
          <w:lang w:val="en-GB"/>
        </w:rPr>
        <w:t xml:space="preserve"> and the community and Traditional Owner visions for the River can only be achieved if true net gain principles, as embodied in such a model, are applied. More detail can be found in the Birrarung Council net gain summary report. This work has been supported by a comprehensive report commissioned by the Council from expert consultants.</w:t>
      </w:r>
    </w:p>
    <w:sectPr w:rsidR="00587C02" w:rsidRPr="00B27363" w:rsidSect="00932AF4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3F95A" w14:textId="77777777" w:rsidR="00132621" w:rsidRDefault="00132621" w:rsidP="00587C02">
      <w:r>
        <w:separator/>
      </w:r>
    </w:p>
  </w:endnote>
  <w:endnote w:type="continuationSeparator" w:id="0">
    <w:p w14:paraId="49C807B8" w14:textId="77777777" w:rsidR="00132621" w:rsidRDefault="00132621" w:rsidP="0058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66FEF" w14:textId="70BA662A" w:rsidR="00587C02" w:rsidRDefault="00587C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EE48D4" wp14:editId="7BB59B5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407C9" w14:textId="0F7B5E53" w:rsidR="00587C02" w:rsidRPr="00587C02" w:rsidRDefault="00587C02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87C02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E48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041407C9" w14:textId="0F7B5E53" w:rsidR="00587C02" w:rsidRPr="00587C02" w:rsidRDefault="00587C02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87C02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A966" w14:textId="2FA89926" w:rsidR="00587C02" w:rsidRDefault="00587C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080CC9" wp14:editId="7E9F7E6D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38F1D" w14:textId="60661D94" w:rsidR="00587C02" w:rsidRPr="00587C02" w:rsidRDefault="00587C02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87C02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80C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43138F1D" w14:textId="60661D94" w:rsidR="00587C02" w:rsidRPr="00587C02" w:rsidRDefault="00587C02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87C02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9EDDB" w14:textId="5A11FB2A" w:rsidR="00587C02" w:rsidRDefault="00587C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D5C56" wp14:editId="1784D2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44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DE65" w14:textId="009890DA" w:rsidR="00587C02" w:rsidRPr="00587C02" w:rsidRDefault="00587C02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87C02">
                            <w:rPr>
                              <w:rFonts w:ascii="Calibri" w:eastAsia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D5C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phUHQi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2198DE65" w14:textId="009890DA" w:rsidR="00587C02" w:rsidRPr="00587C02" w:rsidRDefault="00587C02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87C02">
                      <w:rPr>
                        <w:rFonts w:ascii="Calibri" w:eastAsia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0CA28" w14:textId="77777777" w:rsidR="00132621" w:rsidRDefault="00132621" w:rsidP="00587C02">
      <w:r>
        <w:separator/>
      </w:r>
    </w:p>
  </w:footnote>
  <w:footnote w:type="continuationSeparator" w:id="0">
    <w:p w14:paraId="77F3A821" w14:textId="77777777" w:rsidR="00132621" w:rsidRDefault="00132621" w:rsidP="0058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5317F" w14:textId="65847D0E" w:rsidR="00587C02" w:rsidRPr="00460652" w:rsidRDefault="00932AF4" w:rsidP="00587C02">
    <w:pPr>
      <w:autoSpaceDE w:val="0"/>
      <w:autoSpaceDN w:val="0"/>
      <w:adjustRightInd w:val="0"/>
      <w:jc w:val="right"/>
      <w:rPr>
        <w:rFonts w:ascii="Gill Sans Nova Light" w:hAnsi="Gill Sans Nova Light" w:cs="Gill Sans Light"/>
        <w:b/>
        <w:bCs/>
        <w:color w:val="00579B"/>
        <w:sz w:val="40"/>
        <w:szCs w:val="40"/>
        <w:lang w:val="en-GB"/>
      </w:rPr>
    </w:pPr>
    <w:r w:rsidRPr="00460652">
      <w:rPr>
        <w:rFonts w:ascii="Gill Sans Nova Light" w:hAnsi="Gill Sans Nova Light" w:cs="Gill Sans Light"/>
        <w:b/>
        <w:bCs/>
        <w:noProof/>
        <w:color w:val="00579B"/>
        <w:sz w:val="40"/>
        <w:szCs w:val="40"/>
        <w:lang w:val="en-GB"/>
      </w:rPr>
      <w:drawing>
        <wp:anchor distT="0" distB="0" distL="114300" distR="114300" simplePos="0" relativeHeight="251661312" behindDoc="0" locked="0" layoutInCell="1" allowOverlap="1" wp14:anchorId="26BE7241" wp14:editId="69667C8B">
          <wp:simplePos x="0" y="0"/>
          <wp:positionH relativeFrom="column">
            <wp:posOffset>-227762</wp:posOffset>
          </wp:positionH>
          <wp:positionV relativeFrom="paragraph">
            <wp:posOffset>-417195</wp:posOffset>
          </wp:positionV>
          <wp:extent cx="1079500" cy="927100"/>
          <wp:effectExtent l="0" t="0" r="6350" b="6350"/>
          <wp:wrapSquare wrapText="bothSides"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C02" w:rsidRPr="00460652">
      <w:rPr>
        <w:rFonts w:ascii="Gill Sans Nova Light" w:hAnsi="Gill Sans Nova Light" w:cs="Gill Sans Light"/>
        <w:b/>
        <w:bCs/>
        <w:color w:val="00579B"/>
        <w:sz w:val="40"/>
        <w:szCs w:val="40"/>
        <w:lang w:val="en-GB"/>
      </w:rPr>
      <w:t>A new model for</w:t>
    </w:r>
  </w:p>
  <w:p w14:paraId="0922CBC9" w14:textId="6271EE74" w:rsidR="00587C02" w:rsidRPr="00B27363" w:rsidRDefault="00587C02" w:rsidP="00587C02">
    <w:pPr>
      <w:autoSpaceDE w:val="0"/>
      <w:autoSpaceDN w:val="0"/>
      <w:adjustRightInd w:val="0"/>
      <w:jc w:val="right"/>
      <w:rPr>
        <w:rFonts w:ascii="Gill Sans Nova Light" w:hAnsi="Gill Sans Nova Light" w:cs="Gill Sans Light"/>
        <w:b/>
        <w:bCs/>
        <w:color w:val="00579B"/>
        <w:sz w:val="36"/>
        <w:szCs w:val="36"/>
        <w:lang w:val="en-GB"/>
      </w:rPr>
    </w:pPr>
    <w:r w:rsidRPr="00460652">
      <w:rPr>
        <w:rFonts w:ascii="Gill Sans Nova Light" w:hAnsi="Gill Sans Nova Light" w:cs="Gill Sans Light"/>
        <w:b/>
        <w:bCs/>
        <w:color w:val="00579B"/>
        <w:sz w:val="40"/>
        <w:szCs w:val="40"/>
        <w:lang w:val="en-GB"/>
      </w:rPr>
      <w:t>net gain in the Birrarung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53C50"/>
    <w:multiLevelType w:val="hybridMultilevel"/>
    <w:tmpl w:val="F00EC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545D8"/>
    <w:multiLevelType w:val="hybridMultilevel"/>
    <w:tmpl w:val="6F78B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66ADE"/>
    <w:multiLevelType w:val="hybridMultilevel"/>
    <w:tmpl w:val="1B2E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02"/>
    <w:rsid w:val="00074909"/>
    <w:rsid w:val="00132621"/>
    <w:rsid w:val="00226314"/>
    <w:rsid w:val="00460652"/>
    <w:rsid w:val="0051338E"/>
    <w:rsid w:val="00587C02"/>
    <w:rsid w:val="005A72EA"/>
    <w:rsid w:val="00932AF4"/>
    <w:rsid w:val="00971040"/>
    <w:rsid w:val="00B27363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47FF6"/>
  <w15:chartTrackingRefBased/>
  <w15:docId w15:val="{1BC2C26F-9465-344B-9AFB-88E236DB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C02"/>
  </w:style>
  <w:style w:type="paragraph" w:styleId="Footer">
    <w:name w:val="footer"/>
    <w:basedOn w:val="Normal"/>
    <w:link w:val="FooterChar"/>
    <w:uiPriority w:val="99"/>
    <w:unhideWhenUsed/>
    <w:rsid w:val="00587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C02"/>
  </w:style>
  <w:style w:type="paragraph" w:styleId="ListParagraph">
    <w:name w:val="List Paragraph"/>
    <w:basedOn w:val="Normal"/>
    <w:uiPriority w:val="34"/>
    <w:qFormat/>
    <w:rsid w:val="00587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5ED1D6F73C8459C107C92BFA25FF2" ma:contentTypeVersion="24" ma:contentTypeDescription="Create a new document." ma:contentTypeScope="" ma:versionID="67bc40f692e919d650e497551fbf3812">
  <xsd:schema xmlns:xsd="http://www.w3.org/2001/XMLSchema" xmlns:xs="http://www.w3.org/2001/XMLSchema" xmlns:p="http://schemas.microsoft.com/office/2006/metadata/properties" xmlns:ns2="a5f32de4-e402-4188-b034-e71ca7d22e54" xmlns:ns3="5cfa3569-cfb6-4a2c-8bbf-099f27d1053a" xmlns:ns4="5accc360-0141-4b9f-9d86-3e2436a1355a" targetNamespace="http://schemas.microsoft.com/office/2006/metadata/properties" ma:root="true" ma:fieldsID="9824a306c285ec89c4cbc42c40f361ff" ns2:_="" ns3:_="" ns4:_="">
    <xsd:import namespace="a5f32de4-e402-4188-b034-e71ca7d22e54"/>
    <xsd:import namespace="5cfa3569-cfb6-4a2c-8bbf-099f27d1053a"/>
    <xsd:import namespace="5accc360-0141-4b9f-9d86-3e2436a135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OCR" minOccurs="0"/>
                <xsd:element ref="ns3:MediaServiceBillingMetadata" minOccurs="0"/>
                <xsd:element ref="ns3:Chr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3569-cfb6-4a2c-8bbf-099f27d10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hris" ma:index="29" nillable="true" ma:displayName="Chris" ma:default="'" ma:description="Red Gum at Burnley&#10;..." ma:format="Dropdown" ma:internalName="Chr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c360-0141-4b9f-9d86-3e2436a1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6626f8-4502-4428-a82c-27f9b3e25013}" ma:internalName="TaxCatchAll" ma:showField="CatchAllData" ma:web="5accc360-0141-4b9f-9d86-3e2436a1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a3569-cfb6-4a2c-8bbf-099f27d1053a">
      <Terms xmlns="http://schemas.microsoft.com/office/infopath/2007/PartnerControls"/>
    </lcf76f155ced4ddcb4097134ff3c332f>
    <Chris xmlns="5cfa3569-cfb6-4a2c-8bbf-099f27d1053a">'</Chris>
    <TaxCatchAll xmlns="5accc360-0141-4b9f-9d86-3e2436a1355a" xsi:nil="true"/>
  </documentManagement>
</p:properties>
</file>

<file path=customXml/itemProps1.xml><?xml version="1.0" encoding="utf-8"?>
<ds:datastoreItem xmlns:ds="http://schemas.openxmlformats.org/officeDocument/2006/customXml" ds:itemID="{6DFC4D63-2509-47A5-B55F-C453FC762B0B}"/>
</file>

<file path=customXml/itemProps2.xml><?xml version="1.0" encoding="utf-8"?>
<ds:datastoreItem xmlns:ds="http://schemas.openxmlformats.org/officeDocument/2006/customXml" ds:itemID="{44B315E6-9036-4838-BC37-A7325D403B5B}"/>
</file>

<file path=customXml/itemProps3.xml><?xml version="1.0" encoding="utf-8"?>
<ds:datastoreItem xmlns:ds="http://schemas.openxmlformats.org/officeDocument/2006/customXml" ds:itemID="{59F0AA35-CEDA-41D1-A713-0913739E01E0}"/>
</file>

<file path=customXml/itemProps4.xml><?xml version="1.0" encoding="utf-8"?>
<ds:datastoreItem xmlns:ds="http://schemas.openxmlformats.org/officeDocument/2006/customXml" ds:itemID="{CD7CE416-EA61-4E9D-99F6-776DE3EB519C}"/>
</file>

<file path=customXml/itemProps5.xml><?xml version="1.0" encoding="utf-8"?>
<ds:datastoreItem xmlns:ds="http://schemas.openxmlformats.org/officeDocument/2006/customXml" ds:itemID="{A8235C87-69D4-4407-A9D6-007B7AE3FC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Koper (DELWP)</dc:creator>
  <cp:keywords/>
  <dc:description/>
  <cp:lastModifiedBy>Tracey Koper (DELWP)</cp:lastModifiedBy>
  <cp:revision>8</cp:revision>
  <dcterms:created xsi:type="dcterms:W3CDTF">2021-11-24T20:44:00Z</dcterms:created>
  <dcterms:modified xsi:type="dcterms:W3CDTF">2021-11-24T20:57:00Z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2021-11-24T20:50:15Z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793240ae-af59-4d0e-abec-a9b85762e405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ontentTypeId">
    <vt:lpwstr>0x0101003305ED1D6F73C8459C107C92BFA25FF2</vt:lpwstr>
  </property>
</Properties>
</file>